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32"/>
          <w:szCs w:val="32"/>
        </w:rPr>
      </w:pPr>
      <w:r w:rsidDel="00000000" w:rsidR="00000000" w:rsidRPr="00000000">
        <w:rPr>
          <w:rFonts w:ascii="Arial Narrow" w:cs="Arial Narrow" w:eastAsia="Arial Narrow" w:hAnsi="Arial Narrow"/>
          <w:b w:val="1"/>
          <w:color w:val="404040"/>
          <w:sz w:val="32"/>
          <w:szCs w:val="32"/>
          <w:rtl w:val="0"/>
        </w:rPr>
        <w:t xml:space="preserve">México se convierte en miembro pleno de CAF y fortalece su presencia en América Latina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La incorporación de México como accionista Serie A luego de tres décadas de trabajo conjunto, le permitirá al país tener un mayor acceso a recursos financieros de largo plazo, así como cooperación técnica para su desarrollo sostenible, entre otros beneficios.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jc w:val="both"/>
        <w:rPr>
          <w:rFonts w:ascii="Arial Narrow" w:cs="Arial Narrow" w:eastAsia="Arial Narrow" w:hAnsi="Arial Narrow"/>
          <w:i w:val="1"/>
          <w:color w:val="7f7f7f"/>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212529"/>
        </w:rPr>
      </w:pPr>
      <w:r w:rsidDel="00000000" w:rsidR="00000000" w:rsidRPr="00000000">
        <w:rPr>
          <w:rFonts w:ascii="Arial Narrow" w:cs="Arial Narrow" w:eastAsia="Arial Narrow" w:hAnsi="Arial Narrow"/>
          <w:i w:val="1"/>
          <w:color w:val="7f7f7f"/>
          <w:rtl w:val="0"/>
        </w:rPr>
        <w:t xml:space="preserve">(Ciudad de México, 05 de</w:t>
      </w:r>
      <w:r w:rsidDel="00000000" w:rsidR="00000000" w:rsidRPr="00000000">
        <w:rPr>
          <w:rFonts w:ascii="Arial Narrow" w:cs="Arial Narrow" w:eastAsia="Arial Narrow" w:hAnsi="Arial Narrow"/>
          <w:i w:val="1"/>
          <w:color w:val="808080"/>
          <w:rtl w:val="0"/>
        </w:rPr>
        <w:t xml:space="preserve"> noviembre de 2020</w:t>
      </w:r>
      <w:r w:rsidDel="00000000" w:rsidR="00000000" w:rsidRPr="00000000">
        <w:rPr>
          <w:rFonts w:ascii="Arial Narrow" w:cs="Arial Narrow" w:eastAsia="Arial Narrow" w:hAnsi="Arial Narrow"/>
          <w:i w:val="1"/>
          <w:color w:val="7f7f7f"/>
          <w:rtl w:val="0"/>
        </w:rPr>
        <w:t xml:space="preserve">). </w:t>
      </w:r>
      <w:r w:rsidDel="00000000" w:rsidR="00000000" w:rsidRPr="00000000">
        <w:rPr>
          <w:rFonts w:ascii="Arial Narrow" w:cs="Arial Narrow" w:eastAsia="Arial Narrow" w:hAnsi="Arial Narrow"/>
          <w:color w:val="212529"/>
          <w:rtl w:val="0"/>
        </w:rPr>
        <w:t xml:space="preserve">En el marco del 50 aniversario de CAF -banco de desarrollo de América Latina-, el presidente ejecutivo de la institución, </w:t>
      </w:r>
      <w:r w:rsidDel="00000000" w:rsidR="00000000" w:rsidRPr="00000000">
        <w:rPr>
          <w:rFonts w:ascii="Arial Narrow" w:cs="Arial Narrow" w:eastAsia="Arial Narrow" w:hAnsi="Arial Narrow"/>
          <w:b w:val="1"/>
          <w:color w:val="212529"/>
          <w:rtl w:val="0"/>
        </w:rPr>
        <w:t xml:space="preserve">Luis Carranza Ugarte</w:t>
      </w:r>
      <w:r w:rsidDel="00000000" w:rsidR="00000000" w:rsidRPr="00000000">
        <w:rPr>
          <w:rFonts w:ascii="Arial Narrow" w:cs="Arial Narrow" w:eastAsia="Arial Narrow" w:hAnsi="Arial Narrow"/>
          <w:color w:val="212529"/>
          <w:rtl w:val="0"/>
        </w:rPr>
        <w:t xml:space="preserve">, suscribió con el secretario de Hacienda y Crédito Público, </w:t>
      </w:r>
      <w:r w:rsidDel="00000000" w:rsidR="00000000" w:rsidRPr="00000000">
        <w:rPr>
          <w:rFonts w:ascii="Arial Narrow" w:cs="Arial Narrow" w:eastAsia="Arial Narrow" w:hAnsi="Arial Narrow"/>
          <w:b w:val="1"/>
          <w:color w:val="212529"/>
          <w:rtl w:val="0"/>
        </w:rPr>
        <w:t xml:space="preserve">Arturo Herrera Gutiérrez</w:t>
      </w:r>
      <w:r w:rsidDel="00000000" w:rsidR="00000000" w:rsidRPr="00000000">
        <w:rPr>
          <w:rFonts w:ascii="Arial Narrow" w:cs="Arial Narrow" w:eastAsia="Arial Narrow" w:hAnsi="Arial Narrow"/>
          <w:color w:val="212529"/>
          <w:rtl w:val="0"/>
        </w:rPr>
        <w:t xml:space="preserve">, la incorporación de México como miembro pleno de CAF, lo que marca un hito clave luego de </w:t>
      </w:r>
      <w:r w:rsidDel="00000000" w:rsidR="00000000" w:rsidRPr="00000000">
        <w:rPr>
          <w:rFonts w:ascii="Arial Narrow" w:cs="Arial Narrow" w:eastAsia="Arial Narrow" w:hAnsi="Arial Narrow"/>
          <w:b w:val="1"/>
          <w:color w:val="212529"/>
          <w:rtl w:val="0"/>
        </w:rPr>
        <w:t xml:space="preserve">tres décadas de trabajo conjunto</w:t>
      </w:r>
      <w:r w:rsidDel="00000000" w:rsidR="00000000" w:rsidRPr="00000000">
        <w:rPr>
          <w:rFonts w:ascii="Arial Narrow" w:cs="Arial Narrow" w:eastAsia="Arial Narrow" w:hAnsi="Arial Narrow"/>
          <w:color w:val="212529"/>
          <w:rtl w:val="0"/>
        </w:rPr>
        <w:t xml:space="preserve"> y que permitirá al país mayor acceso a recursos financieros de largo plazo, cooperación técnica para su desarrollo sostenible y una silla permanente en el Directorio de la multilateral, entre otros beneficios.</w:t>
      </w:r>
    </w:p>
    <w:p w:rsidR="00000000" w:rsidDel="00000000" w:rsidP="00000000" w:rsidRDefault="00000000" w:rsidRPr="00000000" w14:paraId="00000005">
      <w:pPr>
        <w:jc w:val="both"/>
        <w:rPr>
          <w:rFonts w:ascii="Arial Narrow" w:cs="Arial Narrow" w:eastAsia="Arial Narrow" w:hAnsi="Arial Narrow"/>
          <w:i w:val="1"/>
          <w:color w:val="7f7f7f"/>
        </w:rPr>
      </w:pPr>
      <w:r w:rsidDel="00000000" w:rsidR="00000000" w:rsidRPr="00000000">
        <w:rPr>
          <w:rtl w:val="0"/>
        </w:rPr>
      </w:r>
    </w:p>
    <w:p w:rsidR="00000000" w:rsidDel="00000000" w:rsidP="00000000" w:rsidRDefault="00000000" w:rsidRPr="00000000" w14:paraId="00000006">
      <w:pPr>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Durante el acto de firma, el presidente ejecutivo de CAF, </w:t>
      </w:r>
      <w:r w:rsidDel="00000000" w:rsidR="00000000" w:rsidRPr="00000000">
        <w:rPr>
          <w:rFonts w:ascii="Arial Narrow" w:cs="Arial Narrow" w:eastAsia="Arial Narrow" w:hAnsi="Arial Narrow"/>
          <w:b w:val="1"/>
          <w:color w:val="212529"/>
          <w:rtl w:val="0"/>
        </w:rPr>
        <w:t xml:space="preserve">Luis Carranza</w:t>
      </w:r>
      <w:r w:rsidDel="00000000" w:rsidR="00000000" w:rsidRPr="00000000">
        <w:rPr>
          <w:rFonts w:ascii="Arial Narrow" w:cs="Arial Narrow" w:eastAsia="Arial Narrow" w:hAnsi="Arial Narrow"/>
          <w:color w:val="212529"/>
          <w:rtl w:val="0"/>
        </w:rPr>
        <w:t xml:space="preserve"> </w:t>
      </w:r>
      <w:r w:rsidDel="00000000" w:rsidR="00000000" w:rsidRPr="00000000">
        <w:rPr>
          <w:rFonts w:ascii="Arial Narrow" w:cs="Arial Narrow" w:eastAsia="Arial Narrow" w:hAnsi="Arial Narrow"/>
          <w:b w:val="1"/>
          <w:color w:val="212529"/>
          <w:rtl w:val="0"/>
        </w:rPr>
        <w:t xml:space="preserve">Ugarte</w:t>
      </w:r>
      <w:r w:rsidDel="00000000" w:rsidR="00000000" w:rsidRPr="00000000">
        <w:rPr>
          <w:rFonts w:ascii="Arial Narrow" w:cs="Arial Narrow" w:eastAsia="Arial Narrow" w:hAnsi="Arial Narrow"/>
          <w:color w:val="212529"/>
          <w:rtl w:val="0"/>
        </w:rPr>
        <w:t xml:space="preserve">, destacó que “esta es una muestra muy clara de la confianza depositada en CAF y de la voluntad e interés político del Gobierno de México en </w:t>
      </w:r>
      <w:r w:rsidDel="00000000" w:rsidR="00000000" w:rsidRPr="00000000">
        <w:rPr>
          <w:rFonts w:ascii="Arial Narrow" w:cs="Arial Narrow" w:eastAsia="Arial Narrow" w:hAnsi="Arial Narrow"/>
          <w:b w:val="1"/>
          <w:color w:val="212529"/>
          <w:rtl w:val="0"/>
        </w:rPr>
        <w:t xml:space="preserve">profundizar los vínculos de trabajo con la institución</w:t>
      </w:r>
      <w:r w:rsidDel="00000000" w:rsidR="00000000" w:rsidRPr="00000000">
        <w:rPr>
          <w:rFonts w:ascii="Arial Narrow" w:cs="Arial Narrow" w:eastAsia="Arial Narrow" w:hAnsi="Arial Narrow"/>
          <w:color w:val="212529"/>
          <w:rtl w:val="0"/>
        </w:rPr>
        <w:t xml:space="preserve">, así como fortalecer su relacionamiento e integración con los países de América Latina, lo que cobra especial relevancia en la coyuntura en la que nos encontramos por motivo del COVID-19”.</w:t>
      </w:r>
    </w:p>
    <w:p w:rsidR="00000000" w:rsidDel="00000000" w:rsidP="00000000" w:rsidRDefault="00000000" w:rsidRPr="00000000" w14:paraId="00000007">
      <w:pP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8">
      <w:pPr>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Por su parte, el secretario de Hacienda y Crédito Público, </w:t>
      </w:r>
      <w:r w:rsidDel="00000000" w:rsidR="00000000" w:rsidRPr="00000000">
        <w:rPr>
          <w:rFonts w:ascii="Arial Narrow" w:cs="Arial Narrow" w:eastAsia="Arial Narrow" w:hAnsi="Arial Narrow"/>
          <w:b w:val="1"/>
          <w:color w:val="212529"/>
          <w:rtl w:val="0"/>
        </w:rPr>
        <w:t xml:space="preserve">Arturo Herrera Gutiérrez</w:t>
      </w:r>
      <w:r w:rsidDel="00000000" w:rsidR="00000000" w:rsidRPr="00000000">
        <w:rPr>
          <w:rFonts w:ascii="Arial Narrow" w:cs="Arial Narrow" w:eastAsia="Arial Narrow" w:hAnsi="Arial Narrow"/>
          <w:color w:val="212529"/>
          <w:rtl w:val="0"/>
        </w:rPr>
        <w:t xml:space="preserve">, recalcó la importancia de fortalecer la agenda internacional en los tiempos actuales donde el COVID-19 ha hecho visible la necesidad de tener mayor cooperación entre naciones e instituciones. “CAF es una institución extraordinariamente noble con la idea de aportar al desarrollo de los países”, resaltó. </w:t>
      </w:r>
    </w:p>
    <w:p w:rsidR="00000000" w:rsidDel="00000000" w:rsidP="00000000" w:rsidRDefault="00000000" w:rsidRPr="00000000" w14:paraId="00000009">
      <w:pP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212529"/>
        </w:rPr>
      </w:pPr>
      <w:r w:rsidDel="00000000" w:rsidR="00000000" w:rsidRPr="00000000">
        <w:rPr>
          <w:rFonts w:ascii="Arial Narrow" w:cs="Arial Narrow" w:eastAsia="Arial Narrow" w:hAnsi="Arial Narrow"/>
          <w:b w:val="1"/>
          <w:color w:val="212529"/>
          <w:rtl w:val="0"/>
        </w:rPr>
        <w:t xml:space="preserve">México fue el primer país no andino en incorporarse</w:t>
      </w:r>
      <w:r w:rsidDel="00000000" w:rsidR="00000000" w:rsidRPr="00000000">
        <w:rPr>
          <w:rFonts w:ascii="Arial Narrow" w:cs="Arial Narrow" w:eastAsia="Arial Narrow" w:hAnsi="Arial Narrow"/>
          <w:color w:val="212529"/>
          <w:rtl w:val="0"/>
        </w:rPr>
        <w:t xml:space="preserve"> como accionista Serie C a CAF en </w:t>
      </w:r>
      <w:r w:rsidDel="00000000" w:rsidR="00000000" w:rsidRPr="00000000">
        <w:rPr>
          <w:rFonts w:ascii="Arial Narrow" w:cs="Arial Narrow" w:eastAsia="Arial Narrow" w:hAnsi="Arial Narrow"/>
          <w:b w:val="1"/>
          <w:color w:val="212529"/>
          <w:rtl w:val="0"/>
        </w:rPr>
        <w:t xml:space="preserve">1990</w:t>
      </w:r>
      <w:r w:rsidDel="00000000" w:rsidR="00000000" w:rsidRPr="00000000">
        <w:rPr>
          <w:rFonts w:ascii="Arial Narrow" w:cs="Arial Narrow" w:eastAsia="Arial Narrow" w:hAnsi="Arial Narrow"/>
          <w:color w:val="212529"/>
          <w:rtl w:val="0"/>
        </w:rPr>
        <w:t xml:space="preserve">, cuando los presidentes de la Comunidad Andina invitaron a los países miembros de la Asociación Latinoamericana de Integración (</w:t>
      </w:r>
      <w:r w:rsidDel="00000000" w:rsidR="00000000" w:rsidRPr="00000000">
        <w:rPr>
          <w:rFonts w:ascii="Arial Narrow" w:cs="Arial Narrow" w:eastAsia="Arial Narrow" w:hAnsi="Arial Narrow"/>
          <w:b w:val="1"/>
          <w:color w:val="212529"/>
          <w:rtl w:val="0"/>
        </w:rPr>
        <w:t xml:space="preserve">ALADI</w:t>
      </w:r>
      <w:r w:rsidDel="00000000" w:rsidR="00000000" w:rsidRPr="00000000">
        <w:rPr>
          <w:rFonts w:ascii="Arial Narrow" w:cs="Arial Narrow" w:eastAsia="Arial Narrow" w:hAnsi="Arial Narrow"/>
          <w:color w:val="212529"/>
          <w:rtl w:val="0"/>
        </w:rPr>
        <w:t xml:space="preserve">) a formar parte del banco. Desde ese entonces, la institución ha desempeñado un rol significativo en </w:t>
      </w:r>
      <w:r w:rsidDel="00000000" w:rsidR="00000000" w:rsidRPr="00000000">
        <w:rPr>
          <w:rFonts w:ascii="Arial Narrow" w:cs="Arial Narrow" w:eastAsia="Arial Narrow" w:hAnsi="Arial Narrow"/>
          <w:b w:val="1"/>
          <w:color w:val="212529"/>
          <w:rtl w:val="0"/>
        </w:rPr>
        <w:t xml:space="preserve">apoyo a la industria de capital de riesgo</w:t>
      </w:r>
      <w:r w:rsidDel="00000000" w:rsidR="00000000" w:rsidRPr="00000000">
        <w:rPr>
          <w:rFonts w:ascii="Arial Narrow" w:cs="Arial Narrow" w:eastAsia="Arial Narrow" w:hAnsi="Arial Narrow"/>
          <w:color w:val="212529"/>
          <w:rtl w:val="0"/>
        </w:rPr>
        <w:t xml:space="preserve"> en México a través inversiones en fondos, con énfasis en el desarrollo empresarial para la pequeña y mediana empresa. </w:t>
      </w:r>
    </w:p>
    <w:p w:rsidR="00000000" w:rsidDel="00000000" w:rsidP="00000000" w:rsidRDefault="00000000" w:rsidRPr="00000000" w14:paraId="0000000B">
      <w:pP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CAF ha brindado un substancial apoyo a México a través del otorgamiento de líneas de crédito rotativas a favor de Nacional Financiera (</w:t>
      </w:r>
      <w:r w:rsidDel="00000000" w:rsidR="00000000" w:rsidRPr="00000000">
        <w:rPr>
          <w:rFonts w:ascii="Arial Narrow" w:cs="Arial Narrow" w:eastAsia="Arial Narrow" w:hAnsi="Arial Narrow"/>
          <w:b w:val="1"/>
          <w:color w:val="212529"/>
          <w:rtl w:val="0"/>
        </w:rPr>
        <w:t xml:space="preserve">NAFIN</w:t>
      </w:r>
      <w:r w:rsidDel="00000000" w:rsidR="00000000" w:rsidRPr="00000000">
        <w:rPr>
          <w:rFonts w:ascii="Arial Narrow" w:cs="Arial Narrow" w:eastAsia="Arial Narrow" w:hAnsi="Arial Narrow"/>
          <w:color w:val="212529"/>
          <w:rtl w:val="0"/>
        </w:rPr>
        <w:t xml:space="preserve">), Banco Nacional de Comercio Exterior (</w:t>
      </w:r>
      <w:r w:rsidDel="00000000" w:rsidR="00000000" w:rsidRPr="00000000">
        <w:rPr>
          <w:rFonts w:ascii="Arial Narrow" w:cs="Arial Narrow" w:eastAsia="Arial Narrow" w:hAnsi="Arial Narrow"/>
          <w:b w:val="1"/>
          <w:color w:val="212529"/>
          <w:rtl w:val="0"/>
        </w:rPr>
        <w:t xml:space="preserve">Bancomext</w:t>
      </w:r>
      <w:r w:rsidDel="00000000" w:rsidR="00000000" w:rsidRPr="00000000">
        <w:rPr>
          <w:rFonts w:ascii="Arial Narrow" w:cs="Arial Narrow" w:eastAsia="Arial Narrow" w:hAnsi="Arial Narrow"/>
          <w:color w:val="212529"/>
          <w:rtl w:val="0"/>
        </w:rPr>
        <w:t xml:space="preserve">) y al fideicomiso público Fondo Especial para Financiamientos Agropecuarios (</w:t>
      </w:r>
      <w:r w:rsidDel="00000000" w:rsidR="00000000" w:rsidRPr="00000000">
        <w:rPr>
          <w:rFonts w:ascii="Arial Narrow" w:cs="Arial Narrow" w:eastAsia="Arial Narrow" w:hAnsi="Arial Narrow"/>
          <w:b w:val="1"/>
          <w:color w:val="212529"/>
          <w:rtl w:val="0"/>
        </w:rPr>
        <w:t xml:space="preserve">FEFA</w:t>
      </w:r>
      <w:r w:rsidDel="00000000" w:rsidR="00000000" w:rsidRPr="00000000">
        <w:rPr>
          <w:rFonts w:ascii="Arial Narrow" w:cs="Arial Narrow" w:eastAsia="Arial Narrow" w:hAnsi="Arial Narrow"/>
          <w:color w:val="212529"/>
          <w:rtl w:val="0"/>
        </w:rPr>
        <w:t xml:space="preserve">). De igual forma, en los últimos años se han concretado financiamientos estratégicos al </w:t>
      </w:r>
      <w:r w:rsidDel="00000000" w:rsidR="00000000" w:rsidRPr="00000000">
        <w:rPr>
          <w:rFonts w:ascii="Arial Narrow" w:cs="Arial Narrow" w:eastAsia="Arial Narrow" w:hAnsi="Arial Narrow"/>
          <w:b w:val="1"/>
          <w:color w:val="212529"/>
          <w:rtl w:val="0"/>
        </w:rPr>
        <w:t xml:space="preserve">sector de telecomunicaciones</w:t>
      </w:r>
      <w:r w:rsidDel="00000000" w:rsidR="00000000" w:rsidRPr="00000000">
        <w:rPr>
          <w:rFonts w:ascii="Arial Narrow" w:cs="Arial Narrow" w:eastAsia="Arial Narrow" w:hAnsi="Arial Narrow"/>
          <w:color w:val="212529"/>
          <w:rtl w:val="0"/>
        </w:rPr>
        <w:t xml:space="preserve"> y a favor de la implementación de políticas públicas en materia de transparencia y mejora regulatoria. Al respecto, a comienzos del año se formalizó un préstamo por </w:t>
      </w:r>
      <w:r w:rsidDel="00000000" w:rsidR="00000000" w:rsidRPr="00000000">
        <w:rPr>
          <w:rFonts w:ascii="Arial Narrow" w:cs="Arial Narrow" w:eastAsia="Arial Narrow" w:hAnsi="Arial Narrow"/>
          <w:b w:val="1"/>
          <w:color w:val="212529"/>
          <w:rtl w:val="0"/>
        </w:rPr>
        <w:t xml:space="preserve">USD 300 millones</w:t>
      </w:r>
      <w:r w:rsidDel="00000000" w:rsidR="00000000" w:rsidRPr="00000000">
        <w:rPr>
          <w:rFonts w:ascii="Arial Narrow" w:cs="Arial Narrow" w:eastAsia="Arial Narrow" w:hAnsi="Arial Narrow"/>
          <w:color w:val="212529"/>
          <w:rtl w:val="0"/>
        </w:rPr>
        <w:t xml:space="preserve"> que establece un conjunto de acciones destinadas a reducir el costo de las regulaciones, disminuir los obstáculos y simplificar los trámites y servicios tanto para los ciudadanos como para las empresas. </w:t>
      </w:r>
    </w:p>
    <w:p w:rsidR="00000000" w:rsidDel="00000000" w:rsidP="00000000" w:rsidRDefault="00000000" w:rsidRPr="00000000" w14:paraId="0000000D">
      <w:pP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El Presidente Carranza le reafirmó al Secretario Herrera el compromiso de CAF con la </w:t>
      </w:r>
      <w:r w:rsidDel="00000000" w:rsidR="00000000" w:rsidRPr="00000000">
        <w:rPr>
          <w:rFonts w:ascii="Arial Narrow" w:cs="Arial Narrow" w:eastAsia="Arial Narrow" w:hAnsi="Arial Narrow"/>
          <w:b w:val="1"/>
          <w:color w:val="212529"/>
          <w:rtl w:val="0"/>
        </w:rPr>
        <w:t xml:space="preserve">agenda de productividad y desarrollo en México</w:t>
      </w:r>
      <w:r w:rsidDel="00000000" w:rsidR="00000000" w:rsidRPr="00000000">
        <w:rPr>
          <w:rFonts w:ascii="Arial Narrow" w:cs="Arial Narrow" w:eastAsia="Arial Narrow" w:hAnsi="Arial Narrow"/>
          <w:color w:val="212529"/>
          <w:rtl w:val="0"/>
        </w:rPr>
        <w:t xml:space="preserve">, aspecto que resulta primordial para generar las condiciones que permitan el buen desempeño de la actividad económica, fomentar la actividad empresarial y, en general, promover las reglas que estimulen mayor innovación, inversión, crecimiento económico y consoliden el bienestar social.</w:t>
      </w:r>
    </w:p>
    <w:p w:rsidR="00000000" w:rsidDel="00000000" w:rsidP="00000000" w:rsidRDefault="00000000" w:rsidRPr="00000000" w14:paraId="0000000F">
      <w:pP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b w:val="0"/>
          <w:i w:val="0"/>
          <w:smallCaps w:val="0"/>
          <w:strike w:val="0"/>
          <w:color w:val="21252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b w:val="0"/>
          <w:i w:val="0"/>
          <w:smallCaps w:val="0"/>
          <w:strike w:val="0"/>
          <w:color w:val="212529"/>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212529"/>
          <w:sz w:val="22"/>
          <w:szCs w:val="22"/>
          <w:u w:val="none"/>
          <w:shd w:fill="auto" w:val="clear"/>
          <w:vertAlign w:val="baseline"/>
          <w:rtl w:val="0"/>
        </w:rPr>
        <w:t xml:space="preserve">CAF inició operaciones en </w:t>
      </w:r>
      <w:r w:rsidDel="00000000" w:rsidR="00000000" w:rsidRPr="00000000">
        <w:rPr>
          <w:rFonts w:ascii="Arial Narrow" w:cs="Arial Narrow" w:eastAsia="Arial Narrow" w:hAnsi="Arial Narrow"/>
          <w:b w:val="1"/>
          <w:i w:val="0"/>
          <w:smallCaps w:val="0"/>
          <w:strike w:val="0"/>
          <w:color w:val="212529"/>
          <w:sz w:val="22"/>
          <w:szCs w:val="22"/>
          <w:u w:val="none"/>
          <w:shd w:fill="auto" w:val="clear"/>
          <w:vertAlign w:val="baseline"/>
          <w:rtl w:val="0"/>
        </w:rPr>
        <w:t xml:space="preserve">1970</w:t>
      </w:r>
      <w:r w:rsidDel="00000000" w:rsidR="00000000" w:rsidRPr="00000000">
        <w:rPr>
          <w:rFonts w:ascii="Arial Narrow" w:cs="Arial Narrow" w:eastAsia="Arial Narrow" w:hAnsi="Arial Narrow"/>
          <w:b w:val="0"/>
          <w:i w:val="0"/>
          <w:smallCaps w:val="0"/>
          <w:strike w:val="0"/>
          <w:color w:val="212529"/>
          <w:sz w:val="22"/>
          <w:szCs w:val="22"/>
          <w:u w:val="none"/>
          <w:shd w:fill="auto" w:val="clear"/>
          <w:vertAlign w:val="baseline"/>
          <w:rtl w:val="0"/>
        </w:rPr>
        <w:t xml:space="preserve"> con un capital de </w:t>
      </w:r>
      <w:r w:rsidDel="00000000" w:rsidR="00000000" w:rsidRPr="00000000">
        <w:rPr>
          <w:rFonts w:ascii="Arial Narrow" w:cs="Arial Narrow" w:eastAsia="Arial Narrow" w:hAnsi="Arial Narrow"/>
          <w:b w:val="1"/>
          <w:i w:val="0"/>
          <w:smallCaps w:val="0"/>
          <w:strike w:val="0"/>
          <w:color w:val="212529"/>
          <w:sz w:val="22"/>
          <w:szCs w:val="22"/>
          <w:u w:val="none"/>
          <w:shd w:fill="auto" w:val="clear"/>
          <w:vertAlign w:val="baseline"/>
          <w:rtl w:val="0"/>
        </w:rPr>
        <w:t xml:space="preserve">USD 25 millones</w:t>
      </w:r>
      <w:r w:rsidDel="00000000" w:rsidR="00000000" w:rsidRPr="00000000">
        <w:rPr>
          <w:rFonts w:ascii="Arial Narrow" w:cs="Arial Narrow" w:eastAsia="Arial Narrow" w:hAnsi="Arial Narrow"/>
          <w:b w:val="0"/>
          <w:i w:val="0"/>
          <w:smallCaps w:val="0"/>
          <w:strike w:val="0"/>
          <w:color w:val="212529"/>
          <w:sz w:val="22"/>
          <w:szCs w:val="22"/>
          <w:u w:val="none"/>
          <w:shd w:fill="auto" w:val="clear"/>
          <w:vertAlign w:val="baseline"/>
          <w:rtl w:val="0"/>
        </w:rPr>
        <w:t xml:space="preserve"> provisto por los </w:t>
      </w:r>
      <w:r w:rsidDel="00000000" w:rsidR="00000000" w:rsidRPr="00000000">
        <w:rPr>
          <w:rFonts w:ascii="Arial Narrow" w:cs="Arial Narrow" w:eastAsia="Arial Narrow" w:hAnsi="Arial Narrow"/>
          <w:b w:val="1"/>
          <w:i w:val="0"/>
          <w:smallCaps w:val="0"/>
          <w:strike w:val="0"/>
          <w:color w:val="212529"/>
          <w:sz w:val="22"/>
          <w:szCs w:val="22"/>
          <w:u w:val="none"/>
          <w:shd w:fill="auto" w:val="clear"/>
          <w:vertAlign w:val="baseline"/>
          <w:rtl w:val="0"/>
        </w:rPr>
        <w:t xml:space="preserve">5 países fundadores</w:t>
      </w:r>
      <w:r w:rsidDel="00000000" w:rsidR="00000000" w:rsidRPr="00000000">
        <w:rPr>
          <w:rFonts w:ascii="Arial Narrow" w:cs="Arial Narrow" w:eastAsia="Arial Narrow" w:hAnsi="Arial Narrow"/>
          <w:b w:val="0"/>
          <w:i w:val="0"/>
          <w:smallCaps w:val="0"/>
          <w:strike w:val="0"/>
          <w:color w:val="212529"/>
          <w:sz w:val="22"/>
          <w:szCs w:val="22"/>
          <w:u w:val="none"/>
          <w:shd w:fill="auto" w:val="clear"/>
          <w:vertAlign w:val="baseline"/>
          <w:rtl w:val="0"/>
        </w:rPr>
        <w:t xml:space="preserve"> (Bolivia, Colombia, Ecuador, Perú y Venezuela). Hoy en día son </w:t>
      </w:r>
      <w:r w:rsidDel="00000000" w:rsidR="00000000" w:rsidRPr="00000000">
        <w:rPr>
          <w:rFonts w:ascii="Arial Narrow" w:cs="Arial Narrow" w:eastAsia="Arial Narrow" w:hAnsi="Arial Narrow"/>
          <w:b w:val="1"/>
          <w:i w:val="0"/>
          <w:smallCaps w:val="0"/>
          <w:strike w:val="0"/>
          <w:color w:val="212529"/>
          <w:sz w:val="22"/>
          <w:szCs w:val="22"/>
          <w:u w:val="none"/>
          <w:shd w:fill="auto" w:val="clear"/>
          <w:vertAlign w:val="baseline"/>
          <w:rtl w:val="0"/>
        </w:rPr>
        <w:t xml:space="preserve">19 los países accionistas</w:t>
      </w:r>
      <w:r w:rsidDel="00000000" w:rsidR="00000000" w:rsidRPr="00000000">
        <w:rPr>
          <w:rFonts w:ascii="Arial Narrow" w:cs="Arial Narrow" w:eastAsia="Arial Narrow" w:hAnsi="Arial Narrow"/>
          <w:b w:val="0"/>
          <w:i w:val="0"/>
          <w:smallCaps w:val="0"/>
          <w:strike w:val="0"/>
          <w:color w:val="212529"/>
          <w:sz w:val="22"/>
          <w:szCs w:val="22"/>
          <w:u w:val="none"/>
          <w:shd w:fill="auto" w:val="clear"/>
          <w:vertAlign w:val="baseline"/>
          <w:rtl w:val="0"/>
        </w:rPr>
        <w:t xml:space="preserve"> (incluyendo a España y Portugal) y más de </w:t>
      </w:r>
      <w:r w:rsidDel="00000000" w:rsidR="00000000" w:rsidRPr="00000000">
        <w:rPr>
          <w:rFonts w:ascii="Arial Narrow" w:cs="Arial Narrow" w:eastAsia="Arial Narrow" w:hAnsi="Arial Narrow"/>
          <w:b w:val="1"/>
          <w:i w:val="0"/>
          <w:smallCaps w:val="0"/>
          <w:strike w:val="0"/>
          <w:color w:val="212529"/>
          <w:sz w:val="22"/>
          <w:szCs w:val="22"/>
          <w:u w:val="none"/>
          <w:shd w:fill="auto" w:val="clear"/>
          <w:vertAlign w:val="baseline"/>
          <w:rtl w:val="0"/>
        </w:rPr>
        <w:t xml:space="preserve">USD 47 mil millones</w:t>
      </w:r>
      <w:r w:rsidDel="00000000" w:rsidR="00000000" w:rsidRPr="00000000">
        <w:rPr>
          <w:rFonts w:ascii="Arial Narrow" w:cs="Arial Narrow" w:eastAsia="Arial Narrow" w:hAnsi="Arial Narrow"/>
          <w:b w:val="0"/>
          <w:i w:val="0"/>
          <w:smallCaps w:val="0"/>
          <w:strike w:val="0"/>
          <w:color w:val="212529"/>
          <w:sz w:val="22"/>
          <w:szCs w:val="22"/>
          <w:u w:val="none"/>
          <w:shd w:fill="auto" w:val="clear"/>
          <w:vertAlign w:val="baseline"/>
          <w:rtl w:val="0"/>
        </w:rPr>
        <w:t xml:space="preserve"> en activos y alrededor de </w:t>
      </w:r>
      <w:r w:rsidDel="00000000" w:rsidR="00000000" w:rsidRPr="00000000">
        <w:rPr>
          <w:rFonts w:ascii="Arial Narrow" w:cs="Arial Narrow" w:eastAsia="Arial Narrow" w:hAnsi="Arial Narrow"/>
          <w:b w:val="1"/>
          <w:i w:val="0"/>
          <w:smallCaps w:val="0"/>
          <w:strike w:val="0"/>
          <w:color w:val="212529"/>
          <w:sz w:val="22"/>
          <w:szCs w:val="22"/>
          <w:u w:val="none"/>
          <w:shd w:fill="auto" w:val="clear"/>
          <w:vertAlign w:val="baseline"/>
          <w:rtl w:val="0"/>
        </w:rPr>
        <w:t xml:space="preserve">USD 13 mil millones</w:t>
      </w:r>
      <w:r w:rsidDel="00000000" w:rsidR="00000000" w:rsidRPr="00000000">
        <w:rPr>
          <w:rFonts w:ascii="Arial Narrow" w:cs="Arial Narrow" w:eastAsia="Arial Narrow" w:hAnsi="Arial Narrow"/>
          <w:b w:val="0"/>
          <w:i w:val="0"/>
          <w:smallCaps w:val="0"/>
          <w:strike w:val="0"/>
          <w:color w:val="212529"/>
          <w:sz w:val="22"/>
          <w:szCs w:val="22"/>
          <w:u w:val="none"/>
          <w:shd w:fill="auto" w:val="clear"/>
          <w:vertAlign w:val="baseline"/>
          <w:rtl w:val="0"/>
        </w:rPr>
        <w:t xml:space="preserve"> de patrimonio. Su evolución histórica convierte a CAF en uno de los pocos casos de éxito de integración en América Latina.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Dirección de Comunicación Estratégica, </w:t>
      </w:r>
      <w:hyperlink r:id="rId8">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17">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pos="4419"/>
        <w:tab w:val="right" w:pos="8838"/>
      </w:tabs>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-266699</wp:posOffset>
          </wp:positionV>
          <wp:extent cx="2105025" cy="657225"/>
          <wp:effectExtent b="0" l="0" r="0" t="0"/>
          <wp:wrapSquare wrapText="bothSides" distB="0" distT="0" distL="0" distR="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